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04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56"/>
        <w:gridCol w:w="1103"/>
        <w:gridCol w:w="1250"/>
        <w:gridCol w:w="1331"/>
        <w:gridCol w:w="1134"/>
        <w:gridCol w:w="2773"/>
        <w:gridCol w:w="1593"/>
      </w:tblGrid>
      <w:tr w14:paraId="005D5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jc w:val="center"/>
        </w:trPr>
        <w:tc>
          <w:tcPr>
            <w:tcW w:w="10440" w:type="dxa"/>
            <w:gridSpan w:val="7"/>
            <w:tcBorders>
              <w:top w:val="nil"/>
              <w:left w:val="nil"/>
              <w:bottom w:val="nil"/>
              <w:right w:val="nil"/>
            </w:tcBorders>
            <w:shd w:val="clear" w:color="auto" w:fill="auto"/>
            <w:noWrap/>
            <w:vAlign w:val="center"/>
          </w:tcPr>
          <w:p w14:paraId="18F06D85">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微软雅黑" w:hAnsi="微软雅黑" w:eastAsia="微软雅黑" w:cs="微软雅黑"/>
                <w:b/>
                <w:bCs/>
                <w:i w:val="0"/>
                <w:iCs w:val="0"/>
                <w:color w:val="000000"/>
                <w:kern w:val="0"/>
                <w:sz w:val="28"/>
                <w:szCs w:val="28"/>
                <w:u w:val="none"/>
              </w:rPr>
            </w:pPr>
            <w:r>
              <w:rPr>
                <w:rFonts w:hint="eastAsia" w:ascii="宋体" w:hAnsi="宋体" w:eastAsia="宋体" w:cs="宋体"/>
                <w:b/>
                <w:bCs/>
                <w:i w:val="0"/>
                <w:iCs w:val="0"/>
                <w:color w:val="000000"/>
                <w:kern w:val="0"/>
                <w:sz w:val="28"/>
                <w:szCs w:val="28"/>
                <w:u w:val="none"/>
                <w:lang w:val="en-US" w:eastAsia="zh-CN" w:bidi="ar"/>
              </w:rPr>
              <w:t>城市更新项目定向直投广告投放报价单</w:t>
            </w:r>
          </w:p>
        </w:tc>
      </w:tr>
      <w:tr w14:paraId="12307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10440"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410F1C88">
            <w:pPr>
              <w:keepNext w:val="0"/>
              <w:keepLines w:val="0"/>
              <w:pageBreakBefore w:val="0"/>
              <w:widowControl/>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rPr>
            </w:pPr>
            <w:r>
              <w:rPr>
                <w:rFonts w:hint="eastAsia" w:ascii="宋体" w:hAnsi="宋体" w:eastAsia="宋体" w:cs="宋体"/>
                <w:i w:val="0"/>
                <w:iCs w:val="0"/>
                <w:color w:val="000000"/>
                <w:kern w:val="0"/>
                <w:sz w:val="22"/>
                <w:szCs w:val="22"/>
                <w:u w:val="none"/>
                <w:lang w:val="en-US" w:eastAsia="zh-CN" w:bidi="ar"/>
              </w:rPr>
              <w:t>甲方：合肥市包河区城市更新建设有限公司</w:t>
            </w:r>
          </w:p>
        </w:tc>
      </w:tr>
      <w:tr w14:paraId="48D54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10440"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418C088C">
            <w:pPr>
              <w:keepNext w:val="0"/>
              <w:keepLines w:val="0"/>
              <w:pageBreakBefore w:val="0"/>
              <w:widowControl/>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rPr>
            </w:pPr>
            <w:r>
              <w:rPr>
                <w:rFonts w:hint="eastAsia" w:ascii="宋体" w:hAnsi="宋体" w:eastAsia="宋体" w:cs="宋体"/>
                <w:i w:val="0"/>
                <w:iCs w:val="0"/>
                <w:color w:val="000000"/>
                <w:kern w:val="0"/>
                <w:sz w:val="22"/>
                <w:szCs w:val="22"/>
                <w:u w:val="none"/>
                <w:lang w:val="en-US" w:eastAsia="zh-CN" w:bidi="ar"/>
              </w:rPr>
              <w:t>乙方：</w:t>
            </w:r>
          </w:p>
        </w:tc>
      </w:tr>
      <w:tr w14:paraId="0AF298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3" w:hRule="atLeast"/>
          <w:jc w:val="center"/>
        </w:trPr>
        <w:tc>
          <w:tcPr>
            <w:tcW w:w="1044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6F6E159D">
            <w:pPr>
              <w:keepNext w:val="0"/>
              <w:keepLines w:val="0"/>
              <w:pageBreakBefore w:val="0"/>
              <w:widowControl/>
              <w:suppressLineNumbers w:val="0"/>
              <w:kinsoku/>
              <w:wordWrap/>
              <w:overflowPunct/>
              <w:topLinePunct w:val="0"/>
              <w:autoSpaceDE/>
              <w:autoSpaceDN/>
              <w:bidi w:val="0"/>
              <w:adjustRightInd/>
              <w:snapToGrid/>
              <w:spacing w:after="0" w:line="240" w:lineRule="auto"/>
              <w:jc w:val="left"/>
              <w:textAlignment w:val="center"/>
              <w:rPr>
                <w:rFonts w:hint="eastAsia" w:ascii="宋体" w:hAnsi="宋体" w:eastAsia="宋体" w:cs="宋体"/>
                <w:i w:val="0"/>
                <w:iCs w:val="0"/>
                <w:color w:val="000000"/>
                <w:kern w:val="0"/>
                <w:sz w:val="22"/>
                <w:szCs w:val="22"/>
                <w:u w:val="none"/>
              </w:rPr>
            </w:pPr>
            <w:r>
              <w:rPr>
                <w:rFonts w:hint="eastAsia" w:ascii="宋体" w:hAnsi="宋体" w:eastAsia="宋体" w:cs="宋体"/>
                <w:i w:val="0"/>
                <w:iCs w:val="0"/>
                <w:color w:val="000000"/>
                <w:kern w:val="0"/>
                <w:sz w:val="22"/>
                <w:szCs w:val="22"/>
                <w:u w:val="none"/>
                <w:lang w:val="en-US" w:eastAsia="zh-CN" w:bidi="ar"/>
              </w:rPr>
              <w:t>公司办公地址：</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联系人：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联系电话：</w:t>
            </w:r>
          </w:p>
        </w:tc>
      </w:tr>
      <w:tr w14:paraId="0A42D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3" w:hRule="atLeast"/>
          <w:jc w:val="center"/>
        </w:trPr>
        <w:tc>
          <w:tcPr>
            <w:tcW w:w="1256" w:type="dxa"/>
            <w:tcBorders>
              <w:top w:val="nil"/>
              <w:left w:val="single" w:color="auto" w:sz="4" w:space="0"/>
              <w:bottom w:val="single" w:color="auto" w:sz="4" w:space="0"/>
              <w:right w:val="single" w:color="auto" w:sz="4" w:space="0"/>
            </w:tcBorders>
            <w:shd w:val="clear" w:color="auto" w:fill="auto"/>
            <w:noWrap/>
            <w:vAlign w:val="center"/>
          </w:tcPr>
          <w:p w14:paraId="39E28C26">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b/>
                <w:bCs/>
                <w:i w:val="0"/>
                <w:iCs w:val="0"/>
                <w:color w:val="auto"/>
                <w:kern w:val="0"/>
                <w:sz w:val="22"/>
                <w:szCs w:val="22"/>
                <w:u w:val="none"/>
              </w:rPr>
            </w:pPr>
            <w:r>
              <w:rPr>
                <w:rFonts w:hint="eastAsia" w:ascii="宋体" w:hAnsi="宋体" w:eastAsia="宋体" w:cs="宋体"/>
                <w:b/>
                <w:bCs/>
                <w:i w:val="0"/>
                <w:iCs w:val="0"/>
                <w:color w:val="auto"/>
                <w:kern w:val="0"/>
                <w:sz w:val="22"/>
                <w:szCs w:val="22"/>
                <w:u w:val="none"/>
                <w:lang w:val="en-US" w:eastAsia="zh-CN" w:bidi="ar"/>
              </w:rPr>
              <w:t>事项</w:t>
            </w:r>
          </w:p>
        </w:tc>
        <w:tc>
          <w:tcPr>
            <w:tcW w:w="1103" w:type="dxa"/>
            <w:tcBorders>
              <w:top w:val="nil"/>
              <w:left w:val="nil"/>
              <w:bottom w:val="single" w:color="auto" w:sz="4" w:space="0"/>
              <w:right w:val="single" w:color="auto" w:sz="4" w:space="0"/>
            </w:tcBorders>
            <w:shd w:val="clear" w:color="auto" w:fill="auto"/>
            <w:vAlign w:val="center"/>
          </w:tcPr>
          <w:p w14:paraId="71B6F92E">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b/>
                <w:bCs/>
                <w:i w:val="0"/>
                <w:iCs w:val="0"/>
                <w:color w:val="auto"/>
                <w:kern w:val="0"/>
                <w:sz w:val="22"/>
                <w:szCs w:val="22"/>
                <w:u w:val="none"/>
              </w:rPr>
            </w:pPr>
            <w:r>
              <w:rPr>
                <w:rFonts w:hint="eastAsia" w:ascii="宋体" w:hAnsi="宋体" w:eastAsia="宋体" w:cs="宋体"/>
                <w:b/>
                <w:bCs/>
                <w:i w:val="0"/>
                <w:iCs w:val="0"/>
                <w:color w:val="auto"/>
                <w:kern w:val="0"/>
                <w:sz w:val="22"/>
                <w:szCs w:val="22"/>
                <w:u w:val="none"/>
                <w:lang w:val="en-US" w:eastAsia="zh-CN" w:bidi="ar"/>
              </w:rPr>
              <w:t>报价项</w:t>
            </w:r>
          </w:p>
        </w:tc>
        <w:tc>
          <w:tcPr>
            <w:tcW w:w="1250" w:type="dxa"/>
            <w:tcBorders>
              <w:top w:val="nil"/>
              <w:left w:val="nil"/>
              <w:bottom w:val="single" w:color="auto" w:sz="4" w:space="0"/>
              <w:right w:val="single" w:color="auto" w:sz="4" w:space="0"/>
            </w:tcBorders>
            <w:shd w:val="clear" w:color="auto" w:fill="auto"/>
            <w:vAlign w:val="center"/>
          </w:tcPr>
          <w:p w14:paraId="3BC9C40E">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单价</w:t>
            </w:r>
          </w:p>
          <w:p w14:paraId="16DEFB58">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b/>
                <w:bCs/>
                <w:i w:val="0"/>
                <w:iCs w:val="0"/>
                <w:color w:val="auto"/>
                <w:kern w:val="0"/>
                <w:sz w:val="22"/>
                <w:szCs w:val="22"/>
                <w:u w:val="none"/>
              </w:rPr>
            </w:pPr>
            <w:r>
              <w:rPr>
                <w:rFonts w:hint="eastAsia" w:ascii="宋体" w:hAnsi="宋体" w:eastAsia="宋体" w:cs="宋体"/>
                <w:b/>
                <w:bCs/>
                <w:i w:val="0"/>
                <w:iCs w:val="0"/>
                <w:color w:val="auto"/>
                <w:kern w:val="0"/>
                <w:sz w:val="22"/>
                <w:szCs w:val="22"/>
                <w:u w:val="none"/>
                <w:lang w:val="en-US" w:eastAsia="zh-CN" w:bidi="ar"/>
              </w:rPr>
              <w:t>（税前价）</w:t>
            </w:r>
          </w:p>
        </w:tc>
        <w:tc>
          <w:tcPr>
            <w:tcW w:w="1331" w:type="dxa"/>
            <w:tcBorders>
              <w:top w:val="nil"/>
              <w:left w:val="nil"/>
              <w:bottom w:val="single" w:color="auto" w:sz="4" w:space="0"/>
              <w:right w:val="single" w:color="auto" w:sz="4" w:space="0"/>
            </w:tcBorders>
            <w:shd w:val="clear" w:color="auto" w:fill="auto"/>
            <w:vAlign w:val="center"/>
          </w:tcPr>
          <w:p w14:paraId="497BA276">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税费</w:t>
            </w:r>
          </w:p>
          <w:p w14:paraId="5AC82B61">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b/>
                <w:bCs/>
                <w:i w:val="0"/>
                <w:iCs w:val="0"/>
                <w:color w:val="auto"/>
                <w:kern w:val="0"/>
                <w:sz w:val="22"/>
                <w:szCs w:val="22"/>
                <w:u w:val="none"/>
              </w:rPr>
            </w:pPr>
            <w:r>
              <w:rPr>
                <w:rFonts w:hint="eastAsia" w:ascii="宋体" w:hAnsi="宋体" w:eastAsia="宋体" w:cs="宋体"/>
                <w:b/>
                <w:bCs/>
                <w:i w:val="0"/>
                <w:iCs w:val="0"/>
                <w:color w:val="auto"/>
                <w:kern w:val="0"/>
                <w:sz w:val="22"/>
                <w:szCs w:val="22"/>
                <w:u w:val="none"/>
                <w:lang w:val="en-US" w:eastAsia="zh-CN" w:bidi="ar"/>
              </w:rPr>
              <w:t>（税率</w:t>
            </w:r>
            <w:r>
              <w:rPr>
                <w:rFonts w:hint="eastAsia" w:ascii="宋体" w:hAnsi="宋体" w:eastAsia="宋体" w:cs="宋体"/>
                <w:b/>
                <w:bCs/>
                <w:i w:val="0"/>
                <w:iCs w:val="0"/>
                <w:color w:val="auto"/>
                <w:kern w:val="0"/>
                <w:sz w:val="22"/>
                <w:szCs w:val="22"/>
                <w:u w:val="single"/>
                <w:lang w:val="en-US" w:eastAsia="zh-CN" w:bidi="ar"/>
              </w:rPr>
              <w:t>6</w:t>
            </w:r>
            <w:r>
              <w:rPr>
                <w:rFonts w:hint="eastAsia" w:ascii="宋体" w:hAnsi="宋体" w:eastAsia="宋体" w:cs="宋体"/>
                <w:b/>
                <w:bCs/>
                <w:i w:val="0"/>
                <w:iCs w:val="0"/>
                <w:color w:val="auto"/>
                <w:kern w:val="0"/>
                <w:sz w:val="22"/>
                <w:szCs w:val="22"/>
                <w:u w:val="none"/>
                <w:lang w:val="en-US" w:eastAsia="zh-CN" w:bidi="ar"/>
              </w:rPr>
              <w:t>%）</w:t>
            </w:r>
          </w:p>
        </w:tc>
        <w:tc>
          <w:tcPr>
            <w:tcW w:w="1134" w:type="dxa"/>
            <w:tcBorders>
              <w:top w:val="nil"/>
              <w:left w:val="nil"/>
              <w:bottom w:val="single" w:color="auto" w:sz="4" w:space="0"/>
              <w:right w:val="single" w:color="auto" w:sz="4" w:space="0"/>
            </w:tcBorders>
            <w:shd w:val="clear" w:color="auto" w:fill="auto"/>
            <w:vAlign w:val="center"/>
          </w:tcPr>
          <w:p w14:paraId="62F4938D">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单价</w:t>
            </w:r>
          </w:p>
          <w:p w14:paraId="1F77E918">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b/>
                <w:bCs/>
                <w:i w:val="0"/>
                <w:iCs w:val="0"/>
                <w:color w:val="auto"/>
                <w:kern w:val="0"/>
                <w:sz w:val="22"/>
                <w:szCs w:val="22"/>
                <w:u w:val="none"/>
              </w:rPr>
            </w:pPr>
            <w:r>
              <w:rPr>
                <w:rFonts w:hint="eastAsia" w:ascii="宋体" w:hAnsi="宋体" w:eastAsia="宋体" w:cs="宋体"/>
                <w:b/>
                <w:bCs/>
                <w:i w:val="0"/>
                <w:iCs w:val="0"/>
                <w:color w:val="auto"/>
                <w:kern w:val="0"/>
                <w:sz w:val="22"/>
                <w:szCs w:val="22"/>
                <w:u w:val="none"/>
                <w:lang w:val="en-US" w:eastAsia="zh-CN" w:bidi="ar"/>
              </w:rPr>
              <w:t>（含税）</w:t>
            </w:r>
          </w:p>
        </w:tc>
        <w:tc>
          <w:tcPr>
            <w:tcW w:w="2773" w:type="dxa"/>
            <w:tcBorders>
              <w:top w:val="nil"/>
              <w:left w:val="nil"/>
              <w:bottom w:val="single" w:color="auto" w:sz="4" w:space="0"/>
              <w:right w:val="single" w:color="auto" w:sz="4" w:space="0"/>
            </w:tcBorders>
            <w:shd w:val="clear" w:color="auto" w:fill="auto"/>
            <w:noWrap/>
            <w:vAlign w:val="center"/>
          </w:tcPr>
          <w:p w14:paraId="770D9AD7">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b/>
                <w:bCs/>
                <w:i w:val="0"/>
                <w:iCs w:val="0"/>
                <w:color w:val="auto"/>
                <w:kern w:val="0"/>
                <w:sz w:val="22"/>
                <w:szCs w:val="22"/>
                <w:u w:val="none"/>
              </w:rPr>
            </w:pPr>
            <w:r>
              <w:rPr>
                <w:rFonts w:hint="eastAsia" w:ascii="宋体" w:hAnsi="宋体" w:eastAsia="宋体" w:cs="宋体"/>
                <w:b/>
                <w:bCs/>
                <w:i w:val="0"/>
                <w:iCs w:val="0"/>
                <w:color w:val="auto"/>
                <w:kern w:val="0"/>
                <w:sz w:val="22"/>
                <w:szCs w:val="22"/>
                <w:u w:val="none"/>
                <w:lang w:val="en-US" w:eastAsia="zh-CN" w:bidi="ar"/>
              </w:rPr>
              <w:t>说明</w:t>
            </w:r>
          </w:p>
        </w:tc>
        <w:tc>
          <w:tcPr>
            <w:tcW w:w="1593" w:type="dxa"/>
            <w:tcBorders>
              <w:top w:val="nil"/>
              <w:left w:val="nil"/>
              <w:bottom w:val="single" w:color="auto" w:sz="4" w:space="0"/>
              <w:right w:val="single" w:color="auto" w:sz="4" w:space="0"/>
            </w:tcBorders>
            <w:shd w:val="clear" w:color="auto" w:fill="auto"/>
            <w:vAlign w:val="center"/>
          </w:tcPr>
          <w:p w14:paraId="077854D9">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b/>
                <w:bCs/>
                <w:i w:val="0"/>
                <w:iCs w:val="0"/>
                <w:color w:val="auto"/>
                <w:kern w:val="0"/>
                <w:sz w:val="22"/>
                <w:szCs w:val="22"/>
                <w:u w:val="none"/>
              </w:rPr>
            </w:pPr>
            <w:r>
              <w:rPr>
                <w:rFonts w:hint="eastAsia" w:ascii="宋体" w:hAnsi="宋体" w:eastAsia="宋体" w:cs="宋体"/>
                <w:b/>
                <w:bCs/>
                <w:i w:val="0"/>
                <w:iCs w:val="0"/>
                <w:color w:val="auto"/>
                <w:kern w:val="0"/>
                <w:sz w:val="22"/>
                <w:szCs w:val="22"/>
                <w:u w:val="none"/>
                <w:lang w:val="en-US" w:eastAsia="zh-CN" w:bidi="ar"/>
              </w:rPr>
              <w:t>结算方式</w:t>
            </w:r>
          </w:p>
        </w:tc>
      </w:tr>
      <w:tr w14:paraId="7A70E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3" w:hRule="atLeast"/>
          <w:jc w:val="center"/>
        </w:trPr>
        <w:tc>
          <w:tcPr>
            <w:tcW w:w="1256" w:type="dxa"/>
            <w:tcBorders>
              <w:top w:val="nil"/>
              <w:left w:val="single" w:color="auto" w:sz="4" w:space="0"/>
              <w:bottom w:val="single" w:color="auto" w:sz="4" w:space="0"/>
              <w:right w:val="single" w:color="auto" w:sz="4" w:space="0"/>
            </w:tcBorders>
            <w:shd w:val="clear" w:color="auto" w:fill="auto"/>
            <w:noWrap/>
            <w:vAlign w:val="center"/>
          </w:tcPr>
          <w:p w14:paraId="0E3D7BE2">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default" w:ascii="宋体" w:hAnsi="宋体" w:eastAsia="宋体" w:cs="宋体"/>
                <w:i w:val="0"/>
                <w:iCs w:val="0"/>
                <w:color w:val="auto"/>
                <w:kern w:val="0"/>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朋友圈&amp;抖音信息流广告投放</w:t>
            </w:r>
          </w:p>
        </w:tc>
        <w:tc>
          <w:tcPr>
            <w:tcW w:w="1103" w:type="dxa"/>
            <w:tcBorders>
              <w:top w:val="nil"/>
              <w:left w:val="nil"/>
              <w:bottom w:val="single" w:color="auto" w:sz="4" w:space="0"/>
              <w:right w:val="single" w:color="auto" w:sz="4" w:space="0"/>
            </w:tcBorders>
            <w:shd w:val="clear" w:color="000000" w:fill="FFFFFF"/>
            <w:vAlign w:val="center"/>
          </w:tcPr>
          <w:p w14:paraId="7E4BD728">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CPM单价</w:t>
            </w:r>
          </w:p>
          <w:p w14:paraId="51A1C11F">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i w:val="0"/>
                <w:iCs w:val="0"/>
                <w:color w:val="auto"/>
                <w:kern w:val="0"/>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（元/千次曝光）</w:t>
            </w:r>
          </w:p>
        </w:tc>
        <w:tc>
          <w:tcPr>
            <w:tcW w:w="1250" w:type="dxa"/>
            <w:tcBorders>
              <w:top w:val="nil"/>
              <w:left w:val="nil"/>
              <w:bottom w:val="single" w:color="auto" w:sz="4" w:space="0"/>
              <w:right w:val="single" w:color="auto" w:sz="4" w:space="0"/>
            </w:tcBorders>
            <w:shd w:val="clear" w:color="000000" w:fill="FFFFFF"/>
            <w:vAlign w:val="center"/>
          </w:tcPr>
          <w:p w14:paraId="230A08A1">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i w:val="0"/>
                <w:iCs w:val="0"/>
                <w:color w:val="auto"/>
                <w:kern w:val="0"/>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w:t>
            </w:r>
          </w:p>
        </w:tc>
        <w:tc>
          <w:tcPr>
            <w:tcW w:w="1331" w:type="dxa"/>
            <w:tcBorders>
              <w:top w:val="nil"/>
              <w:left w:val="nil"/>
              <w:bottom w:val="single" w:color="auto" w:sz="4" w:space="0"/>
              <w:right w:val="single" w:color="auto" w:sz="4" w:space="0"/>
            </w:tcBorders>
            <w:shd w:val="clear" w:color="000000" w:fill="FFFFFF"/>
            <w:vAlign w:val="center"/>
          </w:tcPr>
          <w:p w14:paraId="6DFEF01D">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i w:val="0"/>
                <w:iCs w:val="0"/>
                <w:color w:val="auto"/>
                <w:kern w:val="0"/>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w:t>
            </w:r>
          </w:p>
        </w:tc>
        <w:tc>
          <w:tcPr>
            <w:tcW w:w="1134" w:type="dxa"/>
            <w:tcBorders>
              <w:top w:val="nil"/>
              <w:left w:val="nil"/>
              <w:bottom w:val="single" w:color="auto" w:sz="4" w:space="0"/>
              <w:right w:val="single" w:color="auto" w:sz="4" w:space="0"/>
            </w:tcBorders>
            <w:shd w:val="clear" w:color="000000" w:fill="FFFFFF"/>
            <w:vAlign w:val="center"/>
          </w:tcPr>
          <w:p w14:paraId="36171608">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i w:val="0"/>
                <w:iCs w:val="0"/>
                <w:color w:val="auto"/>
                <w:kern w:val="0"/>
                <w:sz w:val="22"/>
                <w:szCs w:val="22"/>
                <w:u w:val="none"/>
                <w:lang w:val="en-US" w:eastAsia="zh-CN" w:bidi="ar-SA"/>
              </w:rPr>
            </w:pPr>
            <w:r>
              <w:rPr>
                <w:rFonts w:hint="eastAsia" w:ascii="宋体" w:hAnsi="宋体" w:eastAsia="宋体" w:cs="宋体"/>
                <w:i w:val="0"/>
                <w:iCs w:val="0"/>
                <w:color w:val="auto"/>
                <w:kern w:val="0"/>
                <w:sz w:val="22"/>
                <w:szCs w:val="22"/>
                <w:u w:val="none"/>
                <w:lang w:val="en-US" w:eastAsia="zh-CN" w:bidi="ar"/>
              </w:rPr>
              <w:t>　</w:t>
            </w:r>
          </w:p>
        </w:tc>
        <w:tc>
          <w:tcPr>
            <w:tcW w:w="2773" w:type="dxa"/>
            <w:tcBorders>
              <w:top w:val="nil"/>
              <w:left w:val="nil"/>
              <w:bottom w:val="single" w:color="auto" w:sz="4" w:space="0"/>
              <w:right w:val="single" w:color="auto" w:sz="4" w:space="0"/>
            </w:tcBorders>
            <w:shd w:val="clear" w:color="000000" w:fill="FFFFFF"/>
            <w:noWrap/>
            <w:vAlign w:val="center"/>
          </w:tcPr>
          <w:p w14:paraId="7786ACB9">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请填写可执行CPM报价</w:t>
            </w:r>
          </w:p>
          <w:p w14:paraId="08E91A40">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以</w:t>
            </w:r>
            <w:r>
              <w:rPr>
                <w:rFonts w:hint="eastAsia" w:ascii="宋体" w:hAnsi="宋体" w:eastAsia="宋体" w:cs="宋体"/>
                <w:b/>
                <w:bCs/>
                <w:i w:val="0"/>
                <w:iCs w:val="0"/>
                <w:color w:val="auto"/>
                <w:kern w:val="0"/>
                <w:sz w:val="22"/>
                <w:szCs w:val="22"/>
                <w:u w:val="none"/>
                <w:lang w:val="en-US" w:eastAsia="zh-CN" w:bidi="ar"/>
              </w:rPr>
              <w:t>不含税单价</w:t>
            </w:r>
            <w:r>
              <w:rPr>
                <w:rFonts w:hint="eastAsia" w:ascii="宋体" w:hAnsi="宋体" w:eastAsia="宋体" w:cs="宋体"/>
                <w:i w:val="0"/>
                <w:iCs w:val="0"/>
                <w:color w:val="auto"/>
                <w:kern w:val="0"/>
                <w:sz w:val="22"/>
                <w:szCs w:val="22"/>
                <w:u w:val="none"/>
                <w:lang w:val="en-US" w:eastAsia="zh-CN" w:bidi="ar"/>
              </w:rPr>
              <w:t>作为核心评标依据</w:t>
            </w:r>
          </w:p>
        </w:tc>
        <w:tc>
          <w:tcPr>
            <w:tcW w:w="1593" w:type="dxa"/>
            <w:vMerge w:val="restart"/>
            <w:tcBorders>
              <w:top w:val="nil"/>
              <w:left w:val="nil"/>
              <w:right w:val="single" w:color="auto" w:sz="4" w:space="0"/>
            </w:tcBorders>
            <w:shd w:val="clear" w:color="auto" w:fill="auto"/>
            <w:vAlign w:val="center"/>
          </w:tcPr>
          <w:p w14:paraId="5AF6F082">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根据项目需求投放，据实结算；</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总费用不超过18万元（含税），其中嘉玺项目不超过9万元（抖音信息流广告不超过5万元，朋友圈信息流广告不超过4万元），珺玺项目不超过9万元（抖音信息流广告不超过5万元，朋友圈信息流广告不超过4万元）</w:t>
            </w:r>
          </w:p>
        </w:tc>
      </w:tr>
      <w:tr w14:paraId="112AF1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0" w:hRule="atLeast"/>
          <w:jc w:val="center"/>
        </w:trPr>
        <w:tc>
          <w:tcPr>
            <w:tcW w:w="1256" w:type="dxa"/>
            <w:tcBorders>
              <w:top w:val="nil"/>
              <w:left w:val="single" w:color="auto" w:sz="4" w:space="0"/>
              <w:bottom w:val="single" w:color="auto" w:sz="4" w:space="0"/>
              <w:right w:val="single" w:color="auto" w:sz="4" w:space="0"/>
            </w:tcBorders>
            <w:shd w:val="clear" w:color="auto" w:fill="auto"/>
            <w:noWrap/>
            <w:vAlign w:val="center"/>
          </w:tcPr>
          <w:p w14:paraId="19FF53B6">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今日头条信息流广告投放</w:t>
            </w:r>
          </w:p>
          <w:p w14:paraId="15166CCF">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（赠送）</w:t>
            </w:r>
          </w:p>
        </w:tc>
        <w:tc>
          <w:tcPr>
            <w:tcW w:w="7591" w:type="dxa"/>
            <w:gridSpan w:val="5"/>
            <w:tcBorders>
              <w:top w:val="nil"/>
              <w:left w:val="nil"/>
              <w:bottom w:val="single" w:color="auto" w:sz="4" w:space="0"/>
              <w:right w:val="single" w:color="auto" w:sz="4" w:space="0"/>
            </w:tcBorders>
            <w:shd w:val="clear" w:color="000000" w:fill="FFFFFF"/>
            <w:vAlign w:val="center"/>
          </w:tcPr>
          <w:p w14:paraId="43CED866">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kern w:val="2"/>
                <w:sz w:val="24"/>
                <w:szCs w:val="24"/>
              </w:rPr>
            </w:pPr>
            <w:r>
              <w:rPr>
                <w:rFonts w:hint="eastAsia" w:ascii="宋体" w:hAnsi="宋体" w:eastAsia="宋体" w:cs="宋体"/>
                <w:kern w:val="2"/>
                <w:sz w:val="24"/>
                <w:szCs w:val="24"/>
              </w:rPr>
              <w:t>依据抖音信息流广告投放曝光量，</w:t>
            </w:r>
          </w:p>
          <w:p w14:paraId="14642A7D">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kern w:val="2"/>
                <w:sz w:val="24"/>
                <w:szCs w:val="24"/>
              </w:rPr>
              <w:t>按20%的比例赠送今日头条信息流广告投放曝光量。</w:t>
            </w:r>
          </w:p>
        </w:tc>
        <w:tc>
          <w:tcPr>
            <w:tcW w:w="1593" w:type="dxa"/>
            <w:vMerge w:val="continue"/>
            <w:tcBorders>
              <w:left w:val="nil"/>
              <w:right w:val="single" w:color="auto" w:sz="4" w:space="0"/>
            </w:tcBorders>
            <w:shd w:val="clear" w:color="auto" w:fill="auto"/>
            <w:vAlign w:val="center"/>
          </w:tcPr>
          <w:p w14:paraId="1D06AF47">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i w:val="0"/>
                <w:iCs w:val="0"/>
                <w:color w:val="auto"/>
                <w:kern w:val="0"/>
                <w:sz w:val="22"/>
                <w:szCs w:val="22"/>
                <w:u w:val="none"/>
                <w:lang w:val="en-US" w:eastAsia="zh-CN" w:bidi="ar"/>
              </w:rPr>
            </w:pPr>
          </w:p>
        </w:tc>
      </w:tr>
      <w:tr w14:paraId="66220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17" w:hRule="atLeast"/>
          <w:jc w:val="center"/>
        </w:trPr>
        <w:tc>
          <w:tcPr>
            <w:tcW w:w="1256" w:type="dxa"/>
            <w:tcBorders>
              <w:top w:val="nil"/>
              <w:left w:val="single" w:color="auto" w:sz="4" w:space="0"/>
              <w:bottom w:val="single" w:color="auto" w:sz="4" w:space="0"/>
              <w:right w:val="single" w:color="auto" w:sz="4" w:space="0"/>
            </w:tcBorders>
            <w:shd w:val="clear" w:color="auto" w:fill="auto"/>
            <w:noWrap/>
            <w:vAlign w:val="center"/>
          </w:tcPr>
          <w:p w14:paraId="3B914DA9">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i w:val="0"/>
                <w:iCs w:val="0"/>
                <w:color w:val="auto"/>
                <w:kern w:val="0"/>
                <w:sz w:val="22"/>
                <w:szCs w:val="22"/>
                <w:u w:val="none"/>
              </w:rPr>
            </w:pPr>
            <w:r>
              <w:rPr>
                <w:rFonts w:hint="eastAsia" w:ascii="宋体" w:hAnsi="宋体" w:eastAsia="宋体" w:cs="宋体"/>
                <w:i w:val="0"/>
                <w:iCs w:val="0"/>
                <w:color w:val="auto"/>
                <w:kern w:val="0"/>
                <w:sz w:val="22"/>
                <w:szCs w:val="22"/>
                <w:u w:val="none"/>
                <w:lang w:val="en-US" w:eastAsia="zh-CN" w:bidi="ar"/>
              </w:rPr>
              <w:t>线索保障</w:t>
            </w:r>
          </w:p>
        </w:tc>
        <w:tc>
          <w:tcPr>
            <w:tcW w:w="4818" w:type="dxa"/>
            <w:gridSpan w:val="4"/>
            <w:tcBorders>
              <w:top w:val="single" w:color="auto" w:sz="4" w:space="0"/>
              <w:left w:val="nil"/>
              <w:bottom w:val="single" w:color="auto" w:sz="4" w:space="0"/>
              <w:right w:val="single" w:color="auto" w:sz="4" w:space="0"/>
            </w:tcBorders>
            <w:shd w:val="clear" w:color="000000" w:fill="FFFFFF"/>
            <w:vAlign w:val="center"/>
          </w:tcPr>
          <w:p w14:paraId="7FF58197">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i w:val="0"/>
                <w:iCs w:val="0"/>
                <w:color w:val="auto"/>
                <w:kern w:val="0"/>
                <w:sz w:val="23"/>
                <w:szCs w:val="23"/>
                <w:u w:val="none"/>
              </w:rPr>
            </w:pPr>
            <w:r>
              <w:rPr>
                <w:rFonts w:hint="eastAsia" w:ascii="宋体" w:hAnsi="宋体" w:eastAsia="宋体" w:cs="宋体"/>
                <w:i w:val="0"/>
                <w:iCs w:val="0"/>
                <w:color w:val="auto"/>
                <w:kern w:val="0"/>
                <w:sz w:val="23"/>
                <w:szCs w:val="23"/>
                <w:u w:val="none"/>
                <w:lang w:val="en-US" w:eastAsia="zh-CN" w:bidi="ar"/>
              </w:rPr>
              <w:t xml:space="preserve">线索获取量 </w:t>
            </w:r>
            <w:r>
              <w:rPr>
                <w:rFonts w:hint="eastAsia" w:ascii="宋体" w:hAnsi="宋体" w:eastAsia="宋体" w:cs="宋体"/>
                <w:i w:val="0"/>
                <w:iCs w:val="0"/>
                <w:color w:val="auto"/>
                <w:kern w:val="0"/>
                <w:sz w:val="23"/>
                <w:szCs w:val="23"/>
                <w:u w:val="single"/>
                <w:lang w:val="en-US" w:eastAsia="zh-CN" w:bidi="ar"/>
              </w:rPr>
              <w:t xml:space="preserve">       </w:t>
            </w:r>
            <w:r>
              <w:rPr>
                <w:rFonts w:hint="eastAsia" w:ascii="宋体" w:hAnsi="宋体" w:eastAsia="宋体" w:cs="宋体"/>
                <w:i w:val="0"/>
                <w:iCs w:val="0"/>
                <w:color w:val="auto"/>
                <w:kern w:val="0"/>
                <w:sz w:val="23"/>
                <w:szCs w:val="23"/>
                <w:u w:val="none"/>
                <w:lang w:val="en-US" w:eastAsia="zh-CN" w:bidi="ar"/>
              </w:rPr>
              <w:t>（条）</w:t>
            </w:r>
          </w:p>
        </w:tc>
        <w:tc>
          <w:tcPr>
            <w:tcW w:w="2773" w:type="dxa"/>
            <w:tcBorders>
              <w:top w:val="nil"/>
              <w:left w:val="nil"/>
              <w:bottom w:val="single" w:color="auto" w:sz="4" w:space="0"/>
              <w:right w:val="single" w:color="auto" w:sz="4" w:space="0"/>
            </w:tcBorders>
            <w:shd w:val="clear" w:color="000000" w:fill="FFFFFF"/>
            <w:vAlign w:val="center"/>
          </w:tcPr>
          <w:p w14:paraId="6DA2A7EE">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i w:val="0"/>
                <w:iCs w:val="0"/>
                <w:color w:val="auto"/>
                <w:kern w:val="0"/>
                <w:sz w:val="22"/>
                <w:szCs w:val="22"/>
                <w:u w:val="none"/>
              </w:rPr>
            </w:pPr>
            <w:r>
              <w:rPr>
                <w:rFonts w:hint="eastAsia" w:ascii="宋体" w:hAnsi="宋体" w:eastAsia="宋体" w:cs="宋体"/>
                <w:i w:val="0"/>
                <w:iCs w:val="0"/>
                <w:color w:val="FF0000"/>
                <w:kern w:val="0"/>
                <w:sz w:val="22"/>
                <w:szCs w:val="22"/>
                <w:u w:val="none"/>
                <w:lang w:val="en-US" w:eastAsia="zh-CN" w:bidi="ar"/>
              </w:rPr>
              <w:t>以18万总价（含税），预估可收集的留电，不可少于900条；</w:t>
            </w:r>
            <w:r>
              <w:rPr>
                <w:rFonts w:hint="eastAsia" w:ascii="宋体" w:hAnsi="宋体" w:eastAsia="宋体" w:cs="宋体"/>
                <w:i w:val="0"/>
                <w:iCs w:val="0"/>
                <w:color w:val="auto"/>
                <w:kern w:val="0"/>
                <w:sz w:val="22"/>
                <w:szCs w:val="22"/>
                <w:u w:val="none"/>
                <w:lang w:val="en-US" w:eastAsia="zh-CN" w:bidi="ar"/>
              </w:rPr>
              <w:t>执行中需按实际投放金额与总预算的比例完成对应比例的线索收集目标</w:t>
            </w:r>
          </w:p>
        </w:tc>
        <w:tc>
          <w:tcPr>
            <w:tcW w:w="1593" w:type="dxa"/>
            <w:vMerge w:val="continue"/>
            <w:tcBorders>
              <w:left w:val="nil"/>
              <w:right w:val="single" w:color="auto" w:sz="4" w:space="0"/>
            </w:tcBorders>
            <w:shd w:val="clear" w:color="auto" w:fill="auto"/>
            <w:vAlign w:val="center"/>
          </w:tcPr>
          <w:p w14:paraId="6386575E">
            <w:pPr>
              <w:keepNext w:val="0"/>
              <w:keepLines w:val="0"/>
              <w:pageBreakBefore w:val="0"/>
              <w:widowControl/>
              <w:kinsoku/>
              <w:wordWrap/>
              <w:overflowPunct/>
              <w:topLinePunct w:val="0"/>
              <w:autoSpaceDE/>
              <w:autoSpaceDN/>
              <w:bidi w:val="0"/>
              <w:adjustRightInd/>
              <w:snapToGrid/>
              <w:spacing w:after="0" w:line="240" w:lineRule="auto"/>
              <w:jc w:val="center"/>
              <w:rPr>
                <w:rFonts w:hint="eastAsia" w:ascii="宋体" w:hAnsi="宋体" w:eastAsia="宋体" w:cs="宋体"/>
                <w:i w:val="0"/>
                <w:iCs w:val="0"/>
                <w:color w:val="auto"/>
                <w:kern w:val="0"/>
                <w:sz w:val="22"/>
                <w:szCs w:val="22"/>
                <w:u w:val="none"/>
              </w:rPr>
            </w:pPr>
          </w:p>
        </w:tc>
      </w:tr>
      <w:tr w14:paraId="5E3C0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3" w:hRule="atLeast"/>
          <w:jc w:val="center"/>
        </w:trPr>
        <w:tc>
          <w:tcPr>
            <w:tcW w:w="1256" w:type="dxa"/>
            <w:vMerge w:val="restart"/>
            <w:tcBorders>
              <w:top w:val="nil"/>
              <w:left w:val="single" w:color="auto" w:sz="4" w:space="0"/>
              <w:bottom w:val="single" w:color="auto" w:sz="4" w:space="0"/>
              <w:right w:val="single" w:color="auto" w:sz="4" w:space="0"/>
            </w:tcBorders>
            <w:shd w:val="clear" w:color="auto" w:fill="auto"/>
            <w:vAlign w:val="center"/>
          </w:tcPr>
          <w:p w14:paraId="5CC32938">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i w:val="0"/>
                <w:iCs w:val="0"/>
                <w:color w:val="auto"/>
                <w:kern w:val="0"/>
                <w:sz w:val="22"/>
                <w:szCs w:val="22"/>
                <w:u w:val="none"/>
              </w:rPr>
            </w:pPr>
            <w:r>
              <w:rPr>
                <w:rFonts w:hint="eastAsia" w:ascii="宋体" w:hAnsi="宋体" w:eastAsia="宋体" w:cs="宋体"/>
                <w:i w:val="0"/>
                <w:iCs w:val="0"/>
                <w:color w:val="auto"/>
                <w:kern w:val="0"/>
                <w:sz w:val="22"/>
                <w:szCs w:val="22"/>
                <w:u w:val="none"/>
                <w:lang w:val="en-US" w:eastAsia="zh-CN" w:bidi="ar"/>
              </w:rPr>
              <w:t>优化服务</w:t>
            </w:r>
          </w:p>
        </w:tc>
        <w:tc>
          <w:tcPr>
            <w:tcW w:w="7591" w:type="dxa"/>
            <w:gridSpan w:val="5"/>
            <w:tcBorders>
              <w:top w:val="single" w:color="auto" w:sz="4" w:space="0"/>
              <w:left w:val="nil"/>
              <w:bottom w:val="single" w:color="auto" w:sz="4" w:space="0"/>
              <w:right w:val="single" w:color="auto" w:sz="4" w:space="0"/>
            </w:tcBorders>
            <w:shd w:val="clear" w:color="auto" w:fill="auto"/>
            <w:vAlign w:val="center"/>
          </w:tcPr>
          <w:p w14:paraId="4AB14B7A">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账户管理及优化：根据投放数据进行账户优化</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(人群优化、创意优化、时间段优化、地域优化、出价优化、定向优化等)</w:t>
            </w:r>
          </w:p>
          <w:p w14:paraId="1CF1706D">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并提供专业人员为客户进行答疑，投放期间每日反馈</w:t>
            </w:r>
            <w:bookmarkStart w:id="0" w:name="_GoBack"/>
            <w:bookmarkEnd w:id="0"/>
            <w:r>
              <w:rPr>
                <w:rFonts w:hint="eastAsia" w:ascii="宋体" w:hAnsi="宋体" w:eastAsia="宋体" w:cs="宋体"/>
                <w:i w:val="0"/>
                <w:iCs w:val="0"/>
                <w:color w:val="auto"/>
                <w:kern w:val="0"/>
                <w:sz w:val="22"/>
                <w:szCs w:val="22"/>
                <w:u w:val="none"/>
                <w:lang w:val="en-US" w:eastAsia="zh-CN" w:bidi="ar"/>
              </w:rPr>
              <w:t>数据</w:t>
            </w:r>
          </w:p>
        </w:tc>
        <w:tc>
          <w:tcPr>
            <w:tcW w:w="1593" w:type="dxa"/>
            <w:vMerge w:val="continue"/>
            <w:tcBorders>
              <w:left w:val="nil"/>
              <w:right w:val="single" w:color="auto" w:sz="4" w:space="0"/>
            </w:tcBorders>
            <w:shd w:val="clear" w:color="auto" w:fill="auto"/>
            <w:vAlign w:val="center"/>
          </w:tcPr>
          <w:p w14:paraId="57C7D9FA">
            <w:pPr>
              <w:keepNext w:val="0"/>
              <w:keepLines w:val="0"/>
              <w:pageBreakBefore w:val="0"/>
              <w:widowControl/>
              <w:kinsoku/>
              <w:wordWrap/>
              <w:overflowPunct/>
              <w:topLinePunct w:val="0"/>
              <w:autoSpaceDE/>
              <w:autoSpaceDN/>
              <w:bidi w:val="0"/>
              <w:adjustRightInd/>
              <w:snapToGrid/>
              <w:spacing w:after="0" w:line="240" w:lineRule="auto"/>
              <w:jc w:val="center"/>
              <w:rPr>
                <w:rFonts w:hint="eastAsia" w:ascii="宋体" w:hAnsi="宋体" w:eastAsia="宋体" w:cs="宋体"/>
                <w:i w:val="0"/>
                <w:iCs w:val="0"/>
                <w:color w:val="auto"/>
                <w:kern w:val="0"/>
                <w:sz w:val="22"/>
                <w:szCs w:val="22"/>
                <w:u w:val="none"/>
              </w:rPr>
            </w:pPr>
          </w:p>
        </w:tc>
      </w:tr>
      <w:tr w14:paraId="7ED24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1256" w:type="dxa"/>
            <w:vMerge w:val="continue"/>
            <w:tcBorders>
              <w:top w:val="nil"/>
              <w:left w:val="single" w:color="auto" w:sz="4" w:space="0"/>
              <w:bottom w:val="single" w:color="auto" w:sz="4" w:space="0"/>
              <w:right w:val="single" w:color="auto" w:sz="4" w:space="0"/>
            </w:tcBorders>
            <w:shd w:val="clear" w:color="auto" w:fill="auto"/>
            <w:vAlign w:val="center"/>
          </w:tcPr>
          <w:p w14:paraId="5924EC20">
            <w:pPr>
              <w:keepNext w:val="0"/>
              <w:keepLines w:val="0"/>
              <w:pageBreakBefore w:val="0"/>
              <w:widowControl/>
              <w:kinsoku/>
              <w:wordWrap/>
              <w:overflowPunct/>
              <w:topLinePunct w:val="0"/>
              <w:autoSpaceDE/>
              <w:autoSpaceDN/>
              <w:bidi w:val="0"/>
              <w:adjustRightInd/>
              <w:snapToGrid/>
              <w:spacing w:after="0" w:line="240" w:lineRule="auto"/>
              <w:jc w:val="center"/>
              <w:rPr>
                <w:rFonts w:hint="eastAsia" w:ascii="宋体" w:hAnsi="宋体" w:eastAsia="宋体" w:cs="宋体"/>
                <w:i w:val="0"/>
                <w:iCs w:val="0"/>
                <w:color w:val="auto"/>
                <w:kern w:val="0"/>
                <w:sz w:val="22"/>
                <w:szCs w:val="22"/>
                <w:u w:val="none"/>
              </w:rPr>
            </w:pPr>
          </w:p>
        </w:tc>
        <w:tc>
          <w:tcPr>
            <w:tcW w:w="7591" w:type="dxa"/>
            <w:gridSpan w:val="5"/>
            <w:tcBorders>
              <w:top w:val="single" w:color="auto" w:sz="4" w:space="0"/>
              <w:left w:val="nil"/>
              <w:bottom w:val="single" w:color="auto" w:sz="4" w:space="0"/>
              <w:right w:val="single" w:color="auto" w:sz="4" w:space="0"/>
            </w:tcBorders>
            <w:shd w:val="clear" w:color="auto" w:fill="auto"/>
            <w:vAlign w:val="center"/>
          </w:tcPr>
          <w:p w14:paraId="2591F90B">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i w:val="0"/>
                <w:iCs w:val="0"/>
                <w:color w:val="auto"/>
                <w:kern w:val="0"/>
                <w:sz w:val="22"/>
                <w:szCs w:val="22"/>
                <w:u w:val="none"/>
              </w:rPr>
            </w:pPr>
            <w:r>
              <w:rPr>
                <w:rFonts w:hint="eastAsia" w:ascii="宋体" w:hAnsi="宋体" w:eastAsia="宋体" w:cs="宋体"/>
                <w:i w:val="0"/>
                <w:iCs w:val="0"/>
                <w:color w:val="auto"/>
                <w:kern w:val="0"/>
                <w:sz w:val="22"/>
                <w:szCs w:val="22"/>
                <w:u w:val="none"/>
                <w:lang w:val="en-US" w:eastAsia="zh-CN" w:bidi="ar"/>
              </w:rPr>
              <w:t>结案分析报告：广告投放结束，提供数据分析报告：PPT形式提供。</w:t>
            </w:r>
          </w:p>
        </w:tc>
        <w:tc>
          <w:tcPr>
            <w:tcW w:w="1593" w:type="dxa"/>
            <w:vMerge w:val="continue"/>
            <w:tcBorders>
              <w:left w:val="nil"/>
              <w:right w:val="single" w:color="auto" w:sz="4" w:space="0"/>
            </w:tcBorders>
            <w:shd w:val="clear" w:color="auto" w:fill="auto"/>
            <w:vAlign w:val="center"/>
          </w:tcPr>
          <w:p w14:paraId="488617D0">
            <w:pPr>
              <w:keepNext w:val="0"/>
              <w:keepLines w:val="0"/>
              <w:pageBreakBefore w:val="0"/>
              <w:widowControl/>
              <w:kinsoku/>
              <w:wordWrap/>
              <w:overflowPunct/>
              <w:topLinePunct w:val="0"/>
              <w:autoSpaceDE/>
              <w:autoSpaceDN/>
              <w:bidi w:val="0"/>
              <w:adjustRightInd/>
              <w:snapToGrid/>
              <w:spacing w:after="0" w:line="240" w:lineRule="auto"/>
              <w:jc w:val="center"/>
              <w:rPr>
                <w:rFonts w:hint="eastAsia" w:ascii="宋体" w:hAnsi="宋体" w:eastAsia="宋体" w:cs="宋体"/>
                <w:i w:val="0"/>
                <w:iCs w:val="0"/>
                <w:color w:val="auto"/>
                <w:kern w:val="0"/>
                <w:sz w:val="22"/>
                <w:szCs w:val="22"/>
                <w:u w:val="none"/>
              </w:rPr>
            </w:pPr>
          </w:p>
        </w:tc>
      </w:tr>
      <w:tr w14:paraId="4603A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17" w:hRule="atLeast"/>
          <w:jc w:val="center"/>
        </w:trPr>
        <w:tc>
          <w:tcPr>
            <w:tcW w:w="1256" w:type="dxa"/>
            <w:tcBorders>
              <w:top w:val="nil"/>
              <w:left w:val="single" w:color="auto" w:sz="4" w:space="0"/>
              <w:bottom w:val="single" w:color="auto" w:sz="4" w:space="0"/>
              <w:right w:val="single" w:color="auto" w:sz="4" w:space="0"/>
            </w:tcBorders>
            <w:shd w:val="clear" w:color="auto" w:fill="auto"/>
            <w:vAlign w:val="center"/>
          </w:tcPr>
          <w:p w14:paraId="729E162D">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i w:val="0"/>
                <w:iCs w:val="0"/>
                <w:color w:val="auto"/>
                <w:kern w:val="0"/>
                <w:sz w:val="22"/>
                <w:szCs w:val="22"/>
                <w:u w:val="none"/>
              </w:rPr>
            </w:pPr>
            <w:r>
              <w:rPr>
                <w:rFonts w:hint="eastAsia" w:ascii="宋体" w:hAnsi="宋体" w:eastAsia="宋体" w:cs="宋体"/>
                <w:i w:val="0"/>
                <w:iCs w:val="0"/>
                <w:color w:val="auto"/>
                <w:kern w:val="0"/>
                <w:sz w:val="22"/>
                <w:szCs w:val="22"/>
                <w:u w:val="none"/>
                <w:lang w:val="en-US" w:eastAsia="zh-CN" w:bidi="ar"/>
              </w:rPr>
              <w:t>运营保障</w:t>
            </w:r>
          </w:p>
        </w:tc>
        <w:tc>
          <w:tcPr>
            <w:tcW w:w="7591" w:type="dxa"/>
            <w:gridSpan w:val="5"/>
            <w:tcBorders>
              <w:top w:val="single" w:color="auto" w:sz="4" w:space="0"/>
              <w:left w:val="nil"/>
              <w:bottom w:val="single" w:color="auto" w:sz="4" w:space="0"/>
              <w:right w:val="single" w:color="auto" w:sz="4" w:space="0"/>
            </w:tcBorders>
            <w:shd w:val="clear" w:color="auto" w:fill="auto"/>
            <w:vAlign w:val="center"/>
          </w:tcPr>
          <w:p w14:paraId="5FE28CF4">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1、投放日期及曝光量以甲方需求为准；</w:t>
            </w:r>
          </w:p>
          <w:p w14:paraId="48B5C75F">
            <w:pPr>
              <w:keepNext w:val="0"/>
              <w:keepLines w:val="0"/>
              <w:pageBreakBefore w:val="0"/>
              <w:widowControl/>
              <w:suppressLineNumbers w:val="0"/>
              <w:kinsoku/>
              <w:wordWrap/>
              <w:overflowPunct/>
              <w:topLinePunct w:val="0"/>
              <w:autoSpaceDE/>
              <w:autoSpaceDN/>
              <w:bidi w:val="0"/>
              <w:adjustRightInd/>
              <w:snapToGrid/>
              <w:spacing w:after="0" w:line="240" w:lineRule="auto"/>
              <w:jc w:val="center"/>
              <w:textAlignment w:val="center"/>
              <w:rPr>
                <w:rFonts w:hint="eastAsia" w:ascii="宋体" w:hAnsi="宋体" w:eastAsia="宋体" w:cs="宋体"/>
                <w:i w:val="0"/>
                <w:iCs w:val="0"/>
                <w:color w:val="auto"/>
                <w:kern w:val="0"/>
                <w:sz w:val="22"/>
                <w:szCs w:val="22"/>
                <w:highlight w:val="yellow"/>
                <w:u w:val="none"/>
                <w:lang w:val="en-US" w:eastAsia="zh-CN" w:bidi="ar"/>
              </w:rPr>
            </w:pPr>
            <w:r>
              <w:rPr>
                <w:rFonts w:hint="eastAsia" w:ascii="宋体" w:hAnsi="宋体" w:eastAsia="宋体" w:cs="宋体"/>
                <w:i w:val="0"/>
                <w:iCs w:val="0"/>
                <w:color w:val="auto"/>
                <w:kern w:val="0"/>
                <w:sz w:val="22"/>
                <w:szCs w:val="22"/>
                <w:u w:val="none"/>
                <w:lang w:val="en-US" w:eastAsia="zh-CN" w:bidi="ar"/>
              </w:rPr>
              <w:t>2、确保曝光范围为甲方指定范围，不可在指定范围以外；</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3、确保曝光行业为甲方指定行业，不可在指定行业以外；</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4、朋友圈需使用合肥市包河区城市更新建设有限公司主体账户进行投放，确保投放的广告不被封户下线；</w:t>
            </w:r>
          </w:p>
        </w:tc>
        <w:tc>
          <w:tcPr>
            <w:tcW w:w="1593" w:type="dxa"/>
            <w:vMerge w:val="continue"/>
            <w:tcBorders>
              <w:left w:val="nil"/>
              <w:bottom w:val="single" w:color="auto" w:sz="4" w:space="0"/>
              <w:right w:val="single" w:color="auto" w:sz="4" w:space="0"/>
            </w:tcBorders>
            <w:shd w:val="clear" w:color="auto" w:fill="auto"/>
            <w:vAlign w:val="center"/>
          </w:tcPr>
          <w:p w14:paraId="1BD8D5DF">
            <w:pPr>
              <w:keepNext w:val="0"/>
              <w:keepLines w:val="0"/>
              <w:pageBreakBefore w:val="0"/>
              <w:widowControl/>
              <w:kinsoku/>
              <w:wordWrap/>
              <w:overflowPunct/>
              <w:topLinePunct w:val="0"/>
              <w:autoSpaceDE/>
              <w:autoSpaceDN/>
              <w:bidi w:val="0"/>
              <w:adjustRightInd/>
              <w:snapToGrid/>
              <w:spacing w:after="0" w:line="240" w:lineRule="auto"/>
              <w:jc w:val="center"/>
              <w:rPr>
                <w:rFonts w:hint="eastAsia" w:ascii="宋体" w:hAnsi="宋体" w:eastAsia="宋体" w:cs="宋体"/>
                <w:i w:val="0"/>
                <w:iCs w:val="0"/>
                <w:color w:val="auto"/>
                <w:kern w:val="0"/>
                <w:sz w:val="22"/>
                <w:szCs w:val="22"/>
                <w:u w:val="none"/>
              </w:rPr>
            </w:pPr>
          </w:p>
        </w:tc>
      </w:tr>
      <w:tr w14:paraId="193D97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10440"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6CE937D9">
            <w:pPr>
              <w:keepNext w:val="0"/>
              <w:keepLines w:val="0"/>
              <w:pageBreakBefore w:val="0"/>
              <w:widowControl/>
              <w:suppressLineNumbers w:val="0"/>
              <w:kinsoku/>
              <w:wordWrap/>
              <w:overflowPunct/>
              <w:topLinePunct w:val="0"/>
              <w:autoSpaceDE/>
              <w:autoSpaceDN/>
              <w:bidi w:val="0"/>
              <w:adjustRightInd/>
              <w:snapToGrid/>
              <w:spacing w:after="0" w:line="240" w:lineRule="auto"/>
              <w:jc w:val="right"/>
              <w:textAlignment w:val="center"/>
              <w:rPr>
                <w:rFonts w:hint="eastAsia" w:ascii="宋体" w:hAnsi="宋体" w:eastAsia="宋体" w:cs="宋体"/>
                <w:i w:val="0"/>
                <w:iCs w:val="0"/>
                <w:color w:val="auto"/>
                <w:kern w:val="0"/>
                <w:sz w:val="22"/>
                <w:szCs w:val="22"/>
                <w:u w:val="none"/>
              </w:rPr>
            </w:pPr>
            <w:r>
              <w:rPr>
                <w:rFonts w:hint="eastAsia" w:ascii="宋体" w:hAnsi="宋体" w:eastAsia="宋体" w:cs="宋体"/>
                <w:i w:val="0"/>
                <w:iCs w:val="0"/>
                <w:color w:val="auto"/>
                <w:kern w:val="0"/>
                <w:sz w:val="22"/>
                <w:szCs w:val="22"/>
                <w:u w:val="none"/>
                <w:lang w:val="en-US" w:eastAsia="zh-CN" w:bidi="ar"/>
              </w:rPr>
              <w:t>报价单位：</w:t>
            </w:r>
          </w:p>
        </w:tc>
      </w:tr>
      <w:tr w14:paraId="7112B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10440"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5F5E48F7">
            <w:pPr>
              <w:keepNext w:val="0"/>
              <w:keepLines w:val="0"/>
              <w:pageBreakBefore w:val="0"/>
              <w:widowControl/>
              <w:suppressLineNumbers w:val="0"/>
              <w:kinsoku/>
              <w:wordWrap/>
              <w:overflowPunct/>
              <w:topLinePunct w:val="0"/>
              <w:autoSpaceDE/>
              <w:autoSpaceDN/>
              <w:bidi w:val="0"/>
              <w:adjustRightInd/>
              <w:snapToGrid/>
              <w:spacing w:after="0" w:line="240" w:lineRule="auto"/>
              <w:jc w:val="right"/>
              <w:textAlignment w:val="center"/>
              <w:rPr>
                <w:rFonts w:hint="eastAsia" w:ascii="宋体" w:hAnsi="宋体" w:eastAsia="宋体" w:cs="宋体"/>
                <w:i w:val="0"/>
                <w:iCs w:val="0"/>
                <w:color w:val="auto"/>
                <w:kern w:val="0"/>
                <w:sz w:val="22"/>
                <w:szCs w:val="22"/>
                <w:u w:val="none"/>
              </w:rPr>
            </w:pPr>
            <w:r>
              <w:rPr>
                <w:rFonts w:hint="eastAsia" w:ascii="宋体" w:hAnsi="宋体" w:eastAsia="宋体" w:cs="宋体"/>
                <w:i w:val="0"/>
                <w:iCs w:val="0"/>
                <w:color w:val="auto"/>
                <w:kern w:val="0"/>
                <w:sz w:val="22"/>
                <w:szCs w:val="22"/>
                <w:u w:val="none"/>
                <w:lang w:val="en-US" w:eastAsia="zh-CN" w:bidi="ar"/>
              </w:rPr>
              <w:t>日期： 年    月    日</w:t>
            </w:r>
          </w:p>
        </w:tc>
      </w:tr>
      <w:tr w14:paraId="509C2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1" w:hRule="atLeast"/>
          <w:jc w:val="center"/>
        </w:trPr>
        <w:tc>
          <w:tcPr>
            <w:tcW w:w="10440"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14401C72">
            <w:pPr>
              <w:keepNext w:val="0"/>
              <w:keepLines w:val="0"/>
              <w:pageBreakBefore w:val="0"/>
              <w:widowControl/>
              <w:suppressLineNumbers w:val="0"/>
              <w:kinsoku/>
              <w:wordWrap/>
              <w:overflowPunct/>
              <w:topLinePunct w:val="0"/>
              <w:autoSpaceDE/>
              <w:autoSpaceDN/>
              <w:bidi w:val="0"/>
              <w:adjustRightInd/>
              <w:snapToGrid/>
              <w:spacing w:after="0" w:line="240" w:lineRule="auto"/>
              <w:jc w:val="right"/>
              <w:textAlignment w:val="center"/>
              <w:rPr>
                <w:rFonts w:hint="eastAsia" w:ascii="宋体" w:hAnsi="宋体" w:eastAsia="宋体" w:cs="宋体"/>
                <w:i w:val="0"/>
                <w:iCs w:val="0"/>
                <w:color w:val="auto"/>
                <w:kern w:val="0"/>
                <w:sz w:val="22"/>
                <w:szCs w:val="22"/>
                <w:u w:val="none"/>
              </w:rPr>
            </w:pPr>
            <w:r>
              <w:rPr>
                <w:rFonts w:hint="eastAsia" w:ascii="宋体" w:hAnsi="宋体" w:eastAsia="宋体" w:cs="宋体"/>
                <w:i w:val="0"/>
                <w:iCs w:val="0"/>
                <w:color w:val="auto"/>
                <w:kern w:val="0"/>
                <w:sz w:val="22"/>
                <w:szCs w:val="22"/>
                <w:u w:val="none"/>
                <w:lang w:val="en-US" w:eastAsia="zh-CN" w:bidi="ar"/>
              </w:rPr>
              <w:t>后附营业执照</w:t>
            </w:r>
          </w:p>
        </w:tc>
      </w:tr>
    </w:tbl>
    <w:p w14:paraId="03CE38A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Noto Sans SC">
    <w:panose1 w:val="020B0200000000000000"/>
    <w:charset w:val="86"/>
    <w:family w:val="auto"/>
    <w:pitch w:val="default"/>
    <w:sig w:usb0="20000083" w:usb1="2ADF3C10" w:usb2="00000016" w:usb3="00000000" w:csb0="60060107"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